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3" w:rsidRDefault="002B1203" w:rsidP="00CD37DC">
      <w:pPr>
        <w:pStyle w:val="Heading2"/>
        <w:jc w:val="center"/>
      </w:pPr>
      <w:r>
        <w:t>School of Recreation, Health, and Tourism</w:t>
      </w:r>
    </w:p>
    <w:p w:rsidR="002B1203" w:rsidRDefault="002B1203" w:rsidP="00CD37DC">
      <w:pPr>
        <w:pStyle w:val="Heading2"/>
        <w:jc w:val="center"/>
      </w:pPr>
      <w:r>
        <w:t>PRLS 327 – Foundation of Therapeutic Recreation – 3 credits</w:t>
      </w:r>
    </w:p>
    <w:p w:rsidR="002B1203" w:rsidRDefault="002B1203" w:rsidP="00CD37DC">
      <w:pPr>
        <w:pStyle w:val="Heading2"/>
        <w:jc w:val="center"/>
      </w:pPr>
      <w:r>
        <w:t>Spring 2009</w:t>
      </w:r>
    </w:p>
    <w:p w:rsidR="00CD37DC" w:rsidRDefault="00CD37DC" w:rsidP="00CD37DC"/>
    <w:p w:rsidR="002B1203" w:rsidRPr="004E5178" w:rsidRDefault="002B1203" w:rsidP="004E5178">
      <w:r>
        <w:t xml:space="preserve">DAY/TIME: Wed 4:30 – 7:10 p.m. </w:t>
      </w:r>
      <w:r w:rsidR="00CD37DC">
        <w:tab/>
      </w:r>
      <w:r w:rsidR="004E5178">
        <w:tab/>
      </w:r>
      <w:r>
        <w:t>LOCATION: PW1 #888</w:t>
      </w:r>
      <w:r w:rsidR="004E5178">
        <w:tab/>
      </w:r>
      <w:r w:rsidR="004E5178">
        <w:tab/>
      </w:r>
      <w:r w:rsidRPr="004E5178">
        <w:t>PREREQUISITES</w:t>
      </w:r>
      <w:r w:rsidR="004E5178" w:rsidRPr="004E5178">
        <w:t xml:space="preserve">:  </w:t>
      </w:r>
      <w:r w:rsidRPr="004E5178">
        <w:t>None</w:t>
      </w:r>
    </w:p>
    <w:p w:rsidR="004E5178" w:rsidRDefault="002B1203" w:rsidP="004E5178">
      <w:r>
        <w:t xml:space="preserve">PROFESSOR: Patricia </w:t>
      </w:r>
      <w:proofErr w:type="spellStart"/>
      <w:r>
        <w:t>Franckewitz</w:t>
      </w:r>
      <w:proofErr w:type="spellEnd"/>
      <w:r>
        <w:t xml:space="preserve"> </w:t>
      </w:r>
      <w:r w:rsidR="00CD37DC">
        <w:tab/>
      </w:r>
      <w:r>
        <w:t xml:space="preserve">EMAIL ADDRESS: </w:t>
      </w:r>
      <w:hyperlink r:id="rId5" w:history="1">
        <w:r w:rsidR="00CD37DC" w:rsidRPr="006039A0">
          <w:rPr>
            <w:rStyle w:val="Hyperlink"/>
          </w:rPr>
          <w:t>pfrancke@gmu.edu</w:t>
        </w:r>
      </w:hyperlink>
      <w:r w:rsidR="00CD37DC">
        <w:tab/>
      </w:r>
      <w:r w:rsidR="004E5178">
        <w:t>PHONE #</w:t>
      </w:r>
      <w:r w:rsidRPr="004E5178">
        <w:t>: 703-324-5501</w:t>
      </w:r>
    </w:p>
    <w:p w:rsidR="004E5178" w:rsidRDefault="002B1203" w:rsidP="004E5178">
      <w:r>
        <w:t>OFFICE LOCATION: 12011 Government</w:t>
      </w:r>
      <w:r w:rsidR="00CD37DC">
        <w:t xml:space="preserve"> </w:t>
      </w:r>
      <w:proofErr w:type="gramStart"/>
      <w:r w:rsidR="004E5178">
        <w:t xml:space="preserve">Center  </w:t>
      </w:r>
      <w:r>
        <w:t>Parkway</w:t>
      </w:r>
      <w:proofErr w:type="gramEnd"/>
      <w:r>
        <w:t xml:space="preserve"> 10 floor</w:t>
      </w:r>
      <w:r w:rsidR="00CD37DC">
        <w:t xml:space="preserve"> </w:t>
      </w:r>
      <w:r w:rsidR="004E5178">
        <w:t xml:space="preserve">Fairfax, </w:t>
      </w:r>
      <w:proofErr w:type="spellStart"/>
      <w:r w:rsidR="004E5178">
        <w:t>Va</w:t>
      </w:r>
      <w:proofErr w:type="spellEnd"/>
      <w:r w:rsidR="004E5178">
        <w:tab/>
        <w:t>FAX #</w:t>
      </w:r>
      <w:r w:rsidRPr="004E5178">
        <w:t>: 703-222-2792</w:t>
      </w:r>
      <w:r w:rsidR="00CD37DC">
        <w:tab/>
      </w:r>
      <w:r w:rsidR="00CD37DC">
        <w:tab/>
      </w:r>
    </w:p>
    <w:p w:rsidR="00CD37DC" w:rsidRPr="0052727D" w:rsidRDefault="002B1203" w:rsidP="00CD37DC">
      <w:r>
        <w:t xml:space="preserve">OFFICE HOURS: By appointment </w:t>
      </w:r>
    </w:p>
    <w:p w:rsidR="002B1203" w:rsidRDefault="002B1203" w:rsidP="004E5178">
      <w:pPr>
        <w:pStyle w:val="Heading3"/>
      </w:pPr>
      <w:r>
        <w:t>COURSE DESCRIPTION</w:t>
      </w:r>
    </w:p>
    <w:p w:rsidR="00CD37DC" w:rsidRDefault="002B1203" w:rsidP="00980BFE">
      <w:proofErr w:type="gramStart"/>
      <w:r>
        <w:t>An introduction to the processes and techniques of therapeutic recreation to meet the uniq</w:t>
      </w:r>
      <w:r w:rsidR="00CD37DC">
        <w:t xml:space="preserve">ue needs of people </w:t>
      </w:r>
      <w:r>
        <w:t>with</w:t>
      </w:r>
      <w:r w:rsidR="00CD37DC">
        <w:t xml:space="preserve"> </w:t>
      </w:r>
      <w:r>
        <w:t>disabilities.</w:t>
      </w:r>
      <w:proofErr w:type="gramEnd"/>
      <w:r>
        <w:t xml:space="preserve"> This course examines the history, concepts, theories, and foundations of therapeutic recreation.</w:t>
      </w:r>
      <w:r w:rsidR="00CD37DC">
        <w:t xml:space="preserve">  </w:t>
      </w:r>
      <w:r>
        <w:t>Course readings and assignments introduce the role of TR for disadvantaged populations and persons with</w:t>
      </w:r>
      <w:r w:rsidR="00CD37DC">
        <w:t xml:space="preserve"> </w:t>
      </w:r>
      <w:r>
        <w:t>disabilities and illnesses in health care and community settings. Students will examine the application of TR in</w:t>
      </w:r>
      <w:r w:rsidR="00CD37DC">
        <w:t xml:space="preserve"> </w:t>
      </w:r>
      <w:r>
        <w:t>prevention services and the link between social, psychological, and physical health. Students will also gain a</w:t>
      </w:r>
      <w:r w:rsidR="00CD37DC">
        <w:t xml:space="preserve"> </w:t>
      </w:r>
      <w:r>
        <w:t>basic understanding of the disabilities, impairments and illnesses most often encountered in the provision of</w:t>
      </w:r>
      <w:r w:rsidR="00CD37DC">
        <w:t xml:space="preserve">  </w:t>
      </w:r>
      <w:r>
        <w:t>therapeutic recreation services is also provided. Course topics and assignmen</w:t>
      </w:r>
      <w:r w:rsidR="00CD37DC">
        <w:t xml:space="preserve">ts will provide students with a </w:t>
      </w:r>
      <w:r>
        <w:t>basic</w:t>
      </w:r>
      <w:r w:rsidR="00CD37DC">
        <w:t xml:space="preserve"> </w:t>
      </w:r>
      <w:r>
        <w:t>understanding of the principles and techniques in therapeutic recreation programming from a systems perspective</w:t>
      </w:r>
      <w:r w:rsidR="00CD37DC">
        <w:t xml:space="preserve"> </w:t>
      </w:r>
      <w:r>
        <w:t>to include client assessment, individual programming planning, behavioral techniques, activity analysis,</w:t>
      </w:r>
      <w:r w:rsidR="00CD37DC">
        <w:t xml:space="preserve"> </w:t>
      </w:r>
      <w:r>
        <w:t>documentation, adaptation, specific program design, and program evaluation.</w:t>
      </w:r>
    </w:p>
    <w:p w:rsidR="002B1203" w:rsidRDefault="002B1203" w:rsidP="00980BFE">
      <w:pPr>
        <w:pStyle w:val="Heading3"/>
      </w:pPr>
      <w:r>
        <w:t>COURSE OBJECTIVES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Discuss the theories, concepts, and philosophy of therapeutic recreation.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Demonstrate an understanding of therapeutic recreation programming models and principles and discuss</w:t>
      </w:r>
      <w:r w:rsidR="004E5178">
        <w:t xml:space="preserve"> </w:t>
      </w:r>
      <w:r w:rsidRPr="004E5178">
        <w:t>the continuum theory in the delivery of leisure services for people with disabilities from treatment to</w:t>
      </w:r>
      <w:r w:rsidR="004E5178">
        <w:t xml:space="preserve"> </w:t>
      </w:r>
      <w:r w:rsidRPr="004E5178">
        <w:t>independent recreation participation.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Justify the health benefits of therapeutic recreation and discuss psychological and social implications of</w:t>
      </w:r>
      <w:r w:rsidR="004E5178">
        <w:t xml:space="preserve"> </w:t>
      </w:r>
      <w:r w:rsidRPr="004E5178">
        <w:t>illness and disability.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Distinguish between the roles of staff in the provision of therapeutic recreation in community and health</w:t>
      </w:r>
      <w:r w:rsidR="004E5178">
        <w:t xml:space="preserve"> </w:t>
      </w:r>
      <w:r w:rsidRPr="004E5178">
        <w:t>care settings.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Discuss key legislation concerning the rights of the people with disabilities.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Discuss the purpose and processes associated with individualized program planning or individual</w:t>
      </w:r>
      <w:r w:rsidR="004E5178">
        <w:t xml:space="preserve"> </w:t>
      </w:r>
      <w:r w:rsidRPr="004E5178">
        <w:t>service/care planning.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Analyze and design activities for therapeutic outcome, leisure education and recreation participation.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lastRenderedPageBreak/>
        <w:t>Discuss the importance of developing appropriate therapeutic relationships and utilizing social networks</w:t>
      </w:r>
      <w:r w:rsidR="004E5178">
        <w:t xml:space="preserve"> </w:t>
      </w:r>
      <w:r w:rsidRPr="004E5178">
        <w:t>and family in the planning and provision of services.</w:t>
      </w:r>
    </w:p>
    <w:p w:rsidR="002B1203" w:rsidRPr="004E5178" w:rsidRDefault="002B1203" w:rsidP="00980BFE">
      <w:pPr>
        <w:pStyle w:val="ListParagraph"/>
        <w:numPr>
          <w:ilvl w:val="0"/>
          <w:numId w:val="6"/>
        </w:numPr>
      </w:pPr>
      <w:r w:rsidRPr="004E5178">
        <w:t>Identify key components of ethical behavior in therapeutic recreation, responsibilities for professional</w:t>
      </w:r>
      <w:r w:rsidR="004E5178">
        <w:t xml:space="preserve"> </w:t>
      </w:r>
      <w:r w:rsidRPr="004E5178">
        <w:t>development, credentialing, and professionalism in therapeutic recreation services.</w:t>
      </w:r>
    </w:p>
    <w:p w:rsidR="002B1203" w:rsidRPr="00734102" w:rsidRDefault="002B1203" w:rsidP="00980BFE">
      <w:pPr>
        <w:rPr>
          <w:b/>
        </w:rPr>
      </w:pPr>
      <w:r w:rsidRPr="00734102">
        <w:rPr>
          <w:b/>
        </w:rPr>
        <w:t>Further, upon completion of this course, students will meet the following professional accreditation standards for</w:t>
      </w:r>
      <w:r w:rsidR="004E5178" w:rsidRPr="00734102">
        <w:rPr>
          <w:b/>
        </w:rPr>
        <w:t xml:space="preserve"> </w:t>
      </w:r>
      <w:r w:rsidRPr="00734102">
        <w:rPr>
          <w:b/>
        </w:rPr>
        <w:t>NRPA Council on Accreditation: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8.03 Understanding of the significance of play, recreation, and leisure in contemporary society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8.07 Understanding of ethical principles and professionalism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8.08 Understanding of the importance of maintaining professional competence and the available</w:t>
      </w:r>
      <w:r w:rsidR="004E5178" w:rsidRPr="00734102">
        <w:rPr>
          <w:bCs/>
        </w:rPr>
        <w:t xml:space="preserve"> </w:t>
      </w:r>
      <w:r w:rsidRPr="00734102">
        <w:rPr>
          <w:bCs/>
        </w:rPr>
        <w:t>resources for professional development.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8.09 Understanding of the roles, interrelationships, and use of diverse delivery systems addressing</w:t>
      </w:r>
      <w:r w:rsidR="004E5178" w:rsidRPr="00734102">
        <w:rPr>
          <w:bCs/>
        </w:rPr>
        <w:t xml:space="preserve"> </w:t>
      </w:r>
      <w:r w:rsidRPr="00734102">
        <w:rPr>
          <w:bCs/>
        </w:rPr>
        <w:t>recreation, park resources, and leisure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8.10 Understanding of the importance of leisure service delivery systems for diverse populations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8.11.01 Operating programs and services</w:t>
      </w:r>
    </w:p>
    <w:p w:rsidR="002B1203" w:rsidRPr="00734102" w:rsidRDefault="002B1203" w:rsidP="00980BFE">
      <w:proofErr w:type="gramStart"/>
      <w:r w:rsidRPr="00734102">
        <w:rPr>
          <w:bCs/>
        </w:rPr>
        <w:t>8.14.01 Assessment of needs</w:t>
      </w:r>
      <w:r w:rsidRPr="00734102">
        <w:t>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7D.04 Understanding of medical and disabling conditions, disorders and impairments that affect an</w:t>
      </w:r>
      <w:r w:rsidR="004E5178" w:rsidRPr="00734102">
        <w:rPr>
          <w:bCs/>
        </w:rPr>
        <w:t xml:space="preserve"> </w:t>
      </w:r>
      <w:r w:rsidRPr="00734102">
        <w:rPr>
          <w:bCs/>
        </w:rPr>
        <w:t>individual’s physical, cognitive, emotional and social functioning across the lifespan.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7D.05 Understanding of holistic health and wellness including disease prevention and health</w:t>
      </w:r>
      <w:r w:rsidR="004E5178" w:rsidRPr="00734102">
        <w:rPr>
          <w:bCs/>
        </w:rPr>
        <w:t xml:space="preserve"> </w:t>
      </w:r>
      <w:r w:rsidRPr="00734102">
        <w:rPr>
          <w:bCs/>
        </w:rPr>
        <w:t>promotion.</w:t>
      </w:r>
      <w:proofErr w:type="gramEnd"/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 xml:space="preserve">7D.06 Understanding of the use of self as an instrument in therapeutic relationships and the </w:t>
      </w:r>
      <w:proofErr w:type="spellStart"/>
      <w:r w:rsidRPr="00734102">
        <w:rPr>
          <w:bCs/>
        </w:rPr>
        <w:t>abilityto</w:t>
      </w:r>
      <w:proofErr w:type="spellEnd"/>
      <w:r w:rsidRPr="00734102">
        <w:rPr>
          <w:bCs/>
        </w:rPr>
        <w:t xml:space="preserve"> establish such relationships.</w:t>
      </w:r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9D.01 Understanding of and ability to analyze and apply health care and therapeutic recreation</w:t>
      </w:r>
      <w:r w:rsidR="004E5178" w:rsidRPr="00734102">
        <w:rPr>
          <w:bCs/>
        </w:rPr>
        <w:t xml:space="preserve"> delivery </w:t>
      </w:r>
      <w:r w:rsidRPr="00734102">
        <w:rPr>
          <w:bCs/>
        </w:rPr>
        <w:t>models, theories and concepts.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9D.02 Understanding of the psychological, sociological, physiological, and historical significance of</w:t>
      </w:r>
      <w:r w:rsidR="004E5178" w:rsidRPr="00734102">
        <w:rPr>
          <w:bCs/>
        </w:rPr>
        <w:t xml:space="preserve"> </w:t>
      </w:r>
      <w:r w:rsidRPr="00734102">
        <w:rPr>
          <w:bCs/>
        </w:rPr>
        <w:t>therapeutic recreation.</w:t>
      </w:r>
      <w:proofErr w:type="gramEnd"/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9D.03 Understanding of the significance of multiculturalism in therapeutic recreation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9D.05 Understanding of the impact of social attitudes toward illness and disability and of the</w:t>
      </w:r>
      <w:r w:rsidR="004E5178" w:rsidRPr="00734102">
        <w:rPr>
          <w:bCs/>
        </w:rPr>
        <w:t xml:space="preserve"> attitudes </w:t>
      </w:r>
      <w:r w:rsidRPr="00734102">
        <w:rPr>
          <w:bCs/>
        </w:rPr>
        <w:t>and self-concepts held by individuals with illnesses and/or disabilities during leisure</w:t>
      </w:r>
      <w:r w:rsidR="004E5178" w:rsidRPr="00734102">
        <w:rPr>
          <w:bCs/>
        </w:rPr>
        <w:t xml:space="preserve"> </w:t>
      </w:r>
      <w:r w:rsidRPr="00734102">
        <w:rPr>
          <w:bCs/>
        </w:rPr>
        <w:t>experiences.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9D.06 Understanding of the role of the therapeutic recreation professional as an advocate for leisure</w:t>
      </w:r>
      <w:r w:rsidR="004E5178" w:rsidRPr="00734102">
        <w:rPr>
          <w:bCs/>
        </w:rPr>
        <w:t xml:space="preserve"> </w:t>
      </w:r>
      <w:r w:rsidRPr="00734102">
        <w:rPr>
          <w:bCs/>
        </w:rPr>
        <w:t>and human rights and services for individuals with illnesses and disabilities.</w:t>
      </w:r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9D.10 Understanding of the roles and functions of health care and human service professionals and</w:t>
      </w:r>
      <w:r w:rsidR="004E5178" w:rsidRPr="00734102">
        <w:rPr>
          <w:bCs/>
        </w:rPr>
        <w:t xml:space="preserve"> </w:t>
      </w:r>
      <w:r w:rsidRPr="00734102">
        <w:rPr>
          <w:bCs/>
        </w:rPr>
        <w:t>the ability to collaborate and integrate therapeutic recreation into services provided by other</w:t>
      </w:r>
      <w:r w:rsidR="004E5178" w:rsidRPr="00734102">
        <w:rPr>
          <w:bCs/>
        </w:rPr>
        <w:t xml:space="preserve"> </w:t>
      </w:r>
      <w:r w:rsidRPr="00734102">
        <w:rPr>
          <w:bCs/>
        </w:rPr>
        <w:t>disciplines.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lastRenderedPageBreak/>
        <w:t>9D.11 Understanding of the roles and contributions of the client, family and significant others in the</w:t>
      </w:r>
      <w:r w:rsidR="004E5178" w:rsidRPr="00734102">
        <w:rPr>
          <w:bCs/>
        </w:rPr>
        <w:t xml:space="preserve"> </w:t>
      </w:r>
      <w:r w:rsidRPr="00734102">
        <w:rPr>
          <w:bCs/>
        </w:rPr>
        <w:t>therapeutic recreation process.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9D.12 Understanding of and ability to apply inclusive practices to the design and operation of</w:t>
      </w:r>
      <w:r w:rsidR="004E5178" w:rsidRPr="00734102">
        <w:rPr>
          <w:bCs/>
        </w:rPr>
        <w:t xml:space="preserve"> </w:t>
      </w:r>
      <w:r w:rsidRPr="00734102">
        <w:rPr>
          <w:bCs/>
        </w:rPr>
        <w:t>accessible therapeutic recreation programs, services and facilities.</w:t>
      </w:r>
      <w:proofErr w:type="gramEnd"/>
    </w:p>
    <w:p w:rsidR="002B1203" w:rsidRPr="00734102" w:rsidRDefault="002B1203" w:rsidP="00980BFE">
      <w:pPr>
        <w:rPr>
          <w:bCs/>
        </w:rPr>
      </w:pPr>
      <w:proofErr w:type="gramStart"/>
      <w:r w:rsidRPr="00734102">
        <w:rPr>
          <w:bCs/>
        </w:rPr>
        <w:t>9D.13 Understanding of and ability to apply leisure education content and techniques with</w:t>
      </w:r>
      <w:r w:rsidR="004E5178" w:rsidRPr="00734102">
        <w:rPr>
          <w:bCs/>
        </w:rPr>
        <w:t xml:space="preserve"> </w:t>
      </w:r>
      <w:r w:rsidRPr="00734102">
        <w:rPr>
          <w:bCs/>
        </w:rPr>
        <w:t>individuals, families, and caregivers.</w:t>
      </w:r>
      <w:proofErr w:type="gramEnd"/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9D.14 Understanding of and ability to apply the therapeutic recreation programming process,</w:t>
      </w:r>
      <w:r w:rsidR="004E5178" w:rsidRPr="00734102">
        <w:rPr>
          <w:bCs/>
        </w:rPr>
        <w:t xml:space="preserve"> </w:t>
      </w:r>
      <w:r w:rsidRPr="00734102">
        <w:rPr>
          <w:bCs/>
        </w:rPr>
        <w:t>including activity and task analyses, to design individual and group programs and/or</w:t>
      </w:r>
      <w:r w:rsidR="004E5178" w:rsidRPr="00734102">
        <w:rPr>
          <w:bCs/>
        </w:rPr>
        <w:t xml:space="preserve"> </w:t>
      </w:r>
      <w:r w:rsidRPr="00734102">
        <w:rPr>
          <w:bCs/>
        </w:rPr>
        <w:t>treatment plans in various settings.</w:t>
      </w:r>
    </w:p>
    <w:p w:rsidR="002B1203" w:rsidRPr="00734102" w:rsidRDefault="002B1203" w:rsidP="00980BFE">
      <w:pPr>
        <w:rPr>
          <w:bCs/>
        </w:rPr>
      </w:pPr>
      <w:r w:rsidRPr="00734102">
        <w:rPr>
          <w:bCs/>
        </w:rPr>
        <w:t>9D.15 Ability to plan and effectively implement instruction, leadership, supervision, counseling and</w:t>
      </w:r>
      <w:r w:rsidR="004E5178" w:rsidRPr="00734102">
        <w:rPr>
          <w:bCs/>
        </w:rPr>
        <w:t xml:space="preserve"> </w:t>
      </w:r>
      <w:r w:rsidRPr="00734102">
        <w:rPr>
          <w:bCs/>
        </w:rPr>
        <w:t>facilitation techniques and interventions in individual and group formats to reach client goals</w:t>
      </w:r>
      <w:r w:rsidR="004E5178" w:rsidRPr="00734102">
        <w:rPr>
          <w:bCs/>
        </w:rPr>
        <w:t xml:space="preserve"> </w:t>
      </w:r>
      <w:r w:rsidRPr="00734102">
        <w:rPr>
          <w:bCs/>
        </w:rPr>
        <w:t>and outcomes.</w:t>
      </w:r>
    </w:p>
    <w:p w:rsidR="00D57C3D" w:rsidRPr="00734102" w:rsidRDefault="002B1203" w:rsidP="00D57C3D">
      <w:pPr>
        <w:rPr>
          <w:i/>
        </w:rPr>
      </w:pPr>
      <w:r>
        <w:rPr>
          <w:b/>
          <w:bCs/>
        </w:rPr>
        <w:t xml:space="preserve">Scope of the Course: </w:t>
      </w:r>
      <w:r w:rsidRPr="00734102">
        <w:rPr>
          <w:bCs/>
          <w:i/>
        </w:rPr>
        <w:t xml:space="preserve">Students will learn and apply the following </w:t>
      </w:r>
      <w:r w:rsidR="00D57C3D" w:rsidRPr="00734102">
        <w:rPr>
          <w:bCs/>
          <w:i/>
        </w:rPr>
        <w:t xml:space="preserve">knowledge, skills and practices related to </w:t>
      </w:r>
      <w:r w:rsidR="002053AC">
        <w:rPr>
          <w:bCs/>
          <w:i/>
        </w:rPr>
        <w:t xml:space="preserve">serving people with disabilities and </w:t>
      </w:r>
      <w:r w:rsidR="00D57C3D" w:rsidRPr="00734102">
        <w:rPr>
          <w:bCs/>
          <w:i/>
        </w:rPr>
        <w:t>d</w:t>
      </w:r>
      <w:r w:rsidR="00D57C3D" w:rsidRPr="00734102">
        <w:rPr>
          <w:i/>
        </w:rPr>
        <w:t>esigning specific therapeutic recreation interventions or activities to meet leisure related needs of specific people with disabilities or diagnostic groups/populations</w:t>
      </w:r>
      <w:r w:rsidR="007338EB">
        <w:rPr>
          <w:i/>
        </w:rPr>
        <w:t xml:space="preserve"> to include:</w:t>
      </w:r>
    </w:p>
    <w:p w:rsidR="002B1203" w:rsidRDefault="002B1203" w:rsidP="00980BFE">
      <w:pPr>
        <w:pStyle w:val="ListParagraph"/>
        <w:numPr>
          <w:ilvl w:val="0"/>
          <w:numId w:val="7"/>
        </w:numPr>
      </w:pPr>
      <w:r w:rsidRPr="00980BFE">
        <w:t>Characteristic of disabilities/medical conditions Risk Management and Health &amp; Safety Considerations</w:t>
      </w:r>
    </w:p>
    <w:p w:rsidR="00734102" w:rsidRPr="00980BFE" w:rsidRDefault="00734102" w:rsidP="00980BFE">
      <w:pPr>
        <w:pStyle w:val="ListParagraph"/>
        <w:numPr>
          <w:ilvl w:val="0"/>
          <w:numId w:val="7"/>
        </w:numPr>
      </w:pPr>
      <w:r>
        <w:t>Assessment of client need</w:t>
      </w:r>
    </w:p>
    <w:p w:rsidR="00D57C3D" w:rsidRDefault="00D57C3D" w:rsidP="00980BFE">
      <w:pPr>
        <w:pStyle w:val="ListParagraph"/>
        <w:numPr>
          <w:ilvl w:val="0"/>
          <w:numId w:val="7"/>
        </w:numPr>
      </w:pPr>
      <w:r>
        <w:t>Theories</w:t>
      </w:r>
      <w:r w:rsidR="00734102">
        <w:t xml:space="preserve"> of practice and service delivery models</w:t>
      </w:r>
    </w:p>
    <w:p w:rsidR="00734102" w:rsidRDefault="00734102" w:rsidP="00734102">
      <w:pPr>
        <w:pStyle w:val="ListParagraph"/>
        <w:numPr>
          <w:ilvl w:val="0"/>
          <w:numId w:val="7"/>
        </w:numPr>
      </w:pPr>
      <w:r w:rsidRPr="00734102">
        <w:t>Therapeutic Recreation Facilitation/Interventions</w:t>
      </w:r>
    </w:p>
    <w:p w:rsidR="002B1203" w:rsidRPr="00980BFE" w:rsidRDefault="00734102" w:rsidP="00734102">
      <w:pPr>
        <w:pStyle w:val="ListParagraph"/>
        <w:numPr>
          <w:ilvl w:val="0"/>
          <w:numId w:val="7"/>
        </w:numPr>
      </w:pPr>
      <w:r>
        <w:t>Identification of program performance measures</w:t>
      </w:r>
      <w:r w:rsidR="00D57C3D">
        <w:t xml:space="preserve"> and </w:t>
      </w:r>
      <w:r>
        <w:t xml:space="preserve">documentation of </w:t>
      </w:r>
      <w:r w:rsidR="00D57C3D">
        <w:t>customer outcomes</w:t>
      </w:r>
    </w:p>
    <w:p w:rsidR="002B1203" w:rsidRPr="00980BFE" w:rsidRDefault="00734102" w:rsidP="00734102">
      <w:pPr>
        <w:pStyle w:val="ListParagraph"/>
        <w:numPr>
          <w:ilvl w:val="0"/>
          <w:numId w:val="7"/>
        </w:numPr>
      </w:pPr>
      <w:r>
        <w:t>Analysis of specific activity and approaches</w:t>
      </w:r>
    </w:p>
    <w:p w:rsidR="00734102" w:rsidRPr="00734102" w:rsidRDefault="002B1203" w:rsidP="00980BFE">
      <w:pPr>
        <w:pStyle w:val="ListParagraph"/>
        <w:numPr>
          <w:ilvl w:val="0"/>
          <w:numId w:val="7"/>
        </w:numPr>
      </w:pPr>
      <w:r w:rsidRPr="00734102">
        <w:t>Legislation</w:t>
      </w:r>
      <w:r w:rsidR="00734102" w:rsidRPr="00734102">
        <w:t xml:space="preserve"> and ethics</w:t>
      </w:r>
    </w:p>
    <w:p w:rsidR="002B1203" w:rsidRDefault="002B1203" w:rsidP="00980BFE">
      <w:pPr>
        <w:pStyle w:val="Heading3"/>
      </w:pPr>
      <w:r>
        <w:t>COURSE OVERVIEW</w:t>
      </w:r>
    </w:p>
    <w:p w:rsidR="002B1203" w:rsidRDefault="002B1203" w:rsidP="00980BFE">
      <w:r>
        <w:t>Students are held to the standards of the George Mason University Honor Code. You are expected to attend all</w:t>
      </w:r>
      <w:r w:rsidR="00980BFE">
        <w:t xml:space="preserve"> </w:t>
      </w:r>
      <w:r>
        <w:t>class sections, actively participate in class discussions, complete in-class exercises and fulfill all assignments.</w:t>
      </w:r>
      <w:r w:rsidR="00980BFE">
        <w:t xml:space="preserve">  </w:t>
      </w:r>
      <w:r>
        <w:t xml:space="preserve">Assignments must be turned in at the beginning of class on the specified date due or the </w:t>
      </w:r>
      <w:r>
        <w:rPr>
          <w:b/>
          <w:bCs/>
        </w:rPr>
        <w:t>penalty for late</w:t>
      </w:r>
      <w:r w:rsidR="00980BFE">
        <w:t xml:space="preserve"> </w:t>
      </w:r>
      <w:r>
        <w:rPr>
          <w:b/>
          <w:bCs/>
        </w:rPr>
        <w:t xml:space="preserve">assignments is one letter grade per week. </w:t>
      </w:r>
      <w:r>
        <w:t>The procedure for turning in a late assignment is to deliver the</w:t>
      </w:r>
      <w:r w:rsidR="00980BFE">
        <w:t xml:space="preserve"> </w:t>
      </w:r>
      <w:r>
        <w:t>assignment directly to the instructor at 12011 Government Center Parkway 10</w:t>
      </w:r>
      <w:r>
        <w:rPr>
          <w:sz w:val="14"/>
          <w:szCs w:val="14"/>
        </w:rPr>
        <w:t xml:space="preserve">th </w:t>
      </w:r>
      <w:r>
        <w:t>Floor, Fairfax. Emailed</w:t>
      </w:r>
      <w:r w:rsidR="00980BFE">
        <w:t xml:space="preserve"> </w:t>
      </w:r>
      <w:r>
        <w:t>assignments will not be accepted.</w:t>
      </w:r>
    </w:p>
    <w:p w:rsidR="002B1203" w:rsidRDefault="002B1203" w:rsidP="00980BFE">
      <w:r>
        <w:rPr>
          <w:b/>
          <w:bCs/>
        </w:rPr>
        <w:t xml:space="preserve">Course Format: </w:t>
      </w:r>
      <w:r>
        <w:t>PRLS 327 will utilize a variety of teaching/learning methods that will enable students to gain</w:t>
      </w:r>
      <w:r w:rsidR="00980BFE">
        <w:t xml:space="preserve"> </w:t>
      </w:r>
      <w:r>
        <w:t>knowledge, skills, and practical experience applying skills. The course will use:</w:t>
      </w:r>
    </w:p>
    <w:p w:rsidR="00980BFE" w:rsidRDefault="002B1203" w:rsidP="009844BB">
      <w:pPr>
        <w:pStyle w:val="ListParagraph"/>
        <w:numPr>
          <w:ilvl w:val="0"/>
          <w:numId w:val="9"/>
        </w:numPr>
      </w:pPr>
      <w:r w:rsidRPr="00980BFE">
        <w:t>lecture and handout materials</w:t>
      </w:r>
    </w:p>
    <w:p w:rsidR="002B1203" w:rsidRPr="00980BFE" w:rsidRDefault="002B1203" w:rsidP="009844BB">
      <w:pPr>
        <w:pStyle w:val="ListParagraph"/>
        <w:numPr>
          <w:ilvl w:val="0"/>
          <w:numId w:val="9"/>
        </w:numPr>
      </w:pPr>
      <w:r w:rsidRPr="00980BFE">
        <w:t>outside research and reading assignments</w:t>
      </w:r>
    </w:p>
    <w:p w:rsidR="002B1203" w:rsidRPr="00980BFE" w:rsidRDefault="002B1203" w:rsidP="009844BB">
      <w:pPr>
        <w:pStyle w:val="ListParagraph"/>
        <w:numPr>
          <w:ilvl w:val="0"/>
          <w:numId w:val="9"/>
        </w:numPr>
      </w:pPr>
      <w:r w:rsidRPr="00980BFE">
        <w:t>1 off-campus assignments</w:t>
      </w:r>
    </w:p>
    <w:p w:rsidR="002B1203" w:rsidRPr="00980BFE" w:rsidRDefault="002B1203" w:rsidP="009844BB">
      <w:pPr>
        <w:pStyle w:val="ListParagraph"/>
        <w:numPr>
          <w:ilvl w:val="0"/>
          <w:numId w:val="9"/>
        </w:numPr>
      </w:pPr>
      <w:proofErr w:type="gramStart"/>
      <w:r w:rsidRPr="00980BFE">
        <w:t>group</w:t>
      </w:r>
      <w:proofErr w:type="gramEnd"/>
      <w:r w:rsidRPr="00980BFE">
        <w:t xml:space="preserve"> work to achieve the course objectives and assignments.</w:t>
      </w:r>
    </w:p>
    <w:p w:rsidR="002B1203" w:rsidRDefault="002B1203" w:rsidP="009844BB">
      <w:pPr>
        <w:pStyle w:val="Heading3"/>
      </w:pPr>
      <w:r>
        <w:t>REQUIRED READINGS</w:t>
      </w:r>
    </w:p>
    <w:p w:rsidR="002B1203" w:rsidRDefault="002B1203" w:rsidP="00980BFE">
      <w:pPr>
        <w:pStyle w:val="ListParagraph"/>
        <w:numPr>
          <w:ilvl w:val="0"/>
          <w:numId w:val="8"/>
        </w:numPr>
      </w:pPr>
      <w:r w:rsidRPr="00980BFE">
        <w:lastRenderedPageBreak/>
        <w:t xml:space="preserve">Kenneth E. </w:t>
      </w:r>
      <w:proofErr w:type="spellStart"/>
      <w:r w:rsidRPr="00980BFE">
        <w:t>Mobily</w:t>
      </w:r>
      <w:proofErr w:type="spellEnd"/>
      <w:r w:rsidRPr="00980BFE">
        <w:t xml:space="preserve"> and Lisa J </w:t>
      </w:r>
      <w:proofErr w:type="spellStart"/>
      <w:r w:rsidRPr="00980BFE">
        <w:t>Ostiguy</w:t>
      </w:r>
      <w:proofErr w:type="spellEnd"/>
      <w:r w:rsidRPr="00980BFE">
        <w:t>. (2004). Introduction to Therapeutic Recreation: Us and Canadian</w:t>
      </w:r>
      <w:r w:rsidR="009844BB">
        <w:t xml:space="preserve"> </w:t>
      </w:r>
      <w:r>
        <w:t>Perspectives. Venture Publishing, State College, Pa.</w:t>
      </w:r>
    </w:p>
    <w:p w:rsidR="002B1203" w:rsidRDefault="009844BB" w:rsidP="009844BB">
      <w:pPr>
        <w:pStyle w:val="ListParagraph"/>
        <w:numPr>
          <w:ilvl w:val="0"/>
          <w:numId w:val="8"/>
        </w:numPr>
      </w:pPr>
      <w:r>
        <w:t>e</w:t>
      </w:r>
      <w:r w:rsidR="002B1203">
        <w:t>mail links and handouts</w:t>
      </w:r>
    </w:p>
    <w:p w:rsidR="002B1203" w:rsidRDefault="002B1203" w:rsidP="009844BB">
      <w:pPr>
        <w:pStyle w:val="Heading3"/>
      </w:pPr>
      <w:r>
        <w:t>EVALUATION</w:t>
      </w:r>
    </w:p>
    <w:p w:rsidR="002B1203" w:rsidRDefault="002B1203" w:rsidP="00980BFE">
      <w:r>
        <w:t>This course will be graded on a point system, with a total of 100 possible points.</w:t>
      </w:r>
    </w:p>
    <w:p w:rsidR="009844BB" w:rsidRDefault="002B1203" w:rsidP="009844BB">
      <w:pPr>
        <w:rPr>
          <w:rStyle w:val="IntenseEmphasis"/>
        </w:rPr>
      </w:pPr>
      <w:r w:rsidRPr="009844BB">
        <w:rPr>
          <w:rStyle w:val="Strong"/>
        </w:rPr>
        <w:t>Requirements</w:t>
      </w:r>
      <w:r w:rsidRPr="009844BB">
        <w:rPr>
          <w:rStyle w:val="IntenseEmphasis"/>
        </w:rPr>
        <w:t xml:space="preserve"> </w:t>
      </w:r>
      <w:r w:rsidR="009844BB" w:rsidRPr="009844BB">
        <w:rPr>
          <w:rStyle w:val="IntenseEmphasis"/>
        </w:rPr>
        <w:tab/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EE1392">
        <w:tab/>
      </w:r>
      <w:r w:rsidR="00EE1392">
        <w:tab/>
      </w:r>
      <w:r w:rsidR="009844BB" w:rsidRPr="009844BB">
        <w:rPr>
          <w:b/>
        </w:rPr>
        <w:t>Points</w:t>
      </w:r>
    </w:p>
    <w:p w:rsidR="002B1203" w:rsidRPr="009844BB" w:rsidRDefault="00EE1392" w:rsidP="009844BB">
      <w:pPr>
        <w:rPr>
          <w:b/>
          <w:bCs/>
        </w:rPr>
      </w:pPr>
      <w:r>
        <w:t xml:space="preserve">Assignment </w:t>
      </w:r>
      <w:proofErr w:type="gramStart"/>
      <w:r>
        <w:t xml:space="preserve">1  </w:t>
      </w:r>
      <w:r w:rsidR="002B1203">
        <w:t>Disability</w:t>
      </w:r>
      <w:proofErr w:type="gramEnd"/>
      <w:r w:rsidR="002B1203">
        <w:t xml:space="preserve"> Profile </w:t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2B1203">
        <w:t>10</w:t>
      </w:r>
      <w:r w:rsidR="007338EB">
        <w:t>*</w:t>
      </w:r>
    </w:p>
    <w:p w:rsidR="003D2971" w:rsidRDefault="00EE1392" w:rsidP="00980BFE">
      <w:r>
        <w:t xml:space="preserve">Assignment </w:t>
      </w:r>
      <w:proofErr w:type="gramStart"/>
      <w:r>
        <w:t xml:space="preserve">2  </w:t>
      </w:r>
      <w:r w:rsidR="003D2971">
        <w:t>Topics</w:t>
      </w:r>
      <w:proofErr w:type="gramEnd"/>
      <w:r w:rsidR="003D2971">
        <w:t xml:space="preserve"> in TR – presentation and discussion</w:t>
      </w:r>
      <w:r w:rsidR="003D2971">
        <w:tab/>
      </w:r>
      <w:r w:rsidR="003D2971">
        <w:tab/>
        <w:t>20</w:t>
      </w:r>
      <w:r w:rsidR="007338EB">
        <w:t>*</w:t>
      </w:r>
    </w:p>
    <w:p w:rsidR="002B1203" w:rsidRDefault="00EE1392" w:rsidP="00980BFE">
      <w:r>
        <w:t xml:space="preserve">Assignment </w:t>
      </w:r>
      <w:proofErr w:type="gramStart"/>
      <w:r>
        <w:t xml:space="preserve">3  </w:t>
      </w:r>
      <w:r w:rsidR="002B1203">
        <w:t>Program</w:t>
      </w:r>
      <w:proofErr w:type="gramEnd"/>
      <w:r w:rsidR="002B1203">
        <w:t xml:space="preserve"> Observation and Evaluation </w:t>
      </w:r>
      <w:r w:rsidR="009844BB">
        <w:tab/>
      </w:r>
      <w:r w:rsidR="009844BB">
        <w:tab/>
      </w:r>
      <w:r w:rsidR="003D2971">
        <w:t>10</w:t>
      </w:r>
    </w:p>
    <w:p w:rsidR="002B1203" w:rsidRDefault="00EE1392" w:rsidP="00980BFE">
      <w:r>
        <w:t xml:space="preserve">Assignment </w:t>
      </w:r>
      <w:proofErr w:type="gramStart"/>
      <w:r>
        <w:t xml:space="preserve">3  </w:t>
      </w:r>
      <w:r w:rsidR="002B1203">
        <w:t>Individual</w:t>
      </w:r>
      <w:proofErr w:type="gramEnd"/>
      <w:r w:rsidR="002B1203">
        <w:t xml:space="preserve"> Service Plan </w:t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3D2971">
        <w:t>10</w:t>
      </w:r>
    </w:p>
    <w:p w:rsidR="002B1203" w:rsidRDefault="00EE1392" w:rsidP="00980BFE">
      <w:r>
        <w:t xml:space="preserve">Assignment </w:t>
      </w:r>
      <w:proofErr w:type="gramStart"/>
      <w:r>
        <w:t xml:space="preserve">4  </w:t>
      </w:r>
      <w:r w:rsidR="002B1203">
        <w:t>Therapeutic</w:t>
      </w:r>
      <w:proofErr w:type="gramEnd"/>
      <w:r w:rsidR="002B1203">
        <w:t xml:space="preserve"> Recreation Activity Intervention Plan </w:t>
      </w:r>
      <w:r w:rsidR="009844BB">
        <w:tab/>
      </w:r>
      <w:r w:rsidR="002B1203">
        <w:t>25</w:t>
      </w:r>
      <w:r w:rsidR="007338EB">
        <w:t>*</w:t>
      </w:r>
    </w:p>
    <w:p w:rsidR="002B1203" w:rsidRDefault="003D2971" w:rsidP="00980BFE">
      <w:r>
        <w:t>Two Discussion Papers (</w:t>
      </w:r>
      <w:r w:rsidR="007338EB">
        <w:t>take</w:t>
      </w:r>
      <w:r w:rsidR="00ED17C2">
        <w:t xml:space="preserve"> home</w:t>
      </w:r>
      <w:r w:rsidR="007338EB">
        <w:t xml:space="preserve"> </w:t>
      </w:r>
      <w:r>
        <w:t>test)</w:t>
      </w:r>
      <w:r w:rsidR="002B1203">
        <w:t xml:space="preserve"> (@10 pts) </w:t>
      </w:r>
      <w:r w:rsidR="009844BB">
        <w:tab/>
      </w:r>
      <w:r w:rsidR="00EE1392">
        <w:tab/>
      </w:r>
      <w:r w:rsidR="00EE1392">
        <w:tab/>
      </w:r>
      <w:r>
        <w:t>20</w:t>
      </w:r>
    </w:p>
    <w:p w:rsidR="002B1203" w:rsidRDefault="002B1203" w:rsidP="00980BFE">
      <w:r>
        <w:t xml:space="preserve">Class Participation </w:t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9844BB">
        <w:tab/>
      </w:r>
      <w:r w:rsidR="00EE1392">
        <w:tab/>
      </w:r>
      <w:r w:rsidR="00EE1392">
        <w:tab/>
      </w:r>
      <w:r>
        <w:t>5</w:t>
      </w:r>
    </w:p>
    <w:p w:rsidR="002B1203" w:rsidRDefault="002B1203" w:rsidP="009844BB">
      <w:pPr>
        <w:ind w:left="3600" w:firstLine="720"/>
      </w:pPr>
      <w:r>
        <w:t>TOTAL 100</w:t>
      </w:r>
    </w:p>
    <w:p w:rsidR="007338EB" w:rsidRDefault="007338EB" w:rsidP="007338EB">
      <w:proofErr w:type="gramStart"/>
      <w:r>
        <w:t>*  denotes</w:t>
      </w:r>
      <w:proofErr w:type="gramEnd"/>
      <w:r>
        <w:t xml:space="preserve"> assignment structured for group project or individual project</w:t>
      </w:r>
    </w:p>
    <w:p w:rsidR="002B1203" w:rsidRDefault="002B1203" w:rsidP="00980BFE">
      <w:pPr>
        <w:rPr>
          <w:b/>
          <w:bCs/>
        </w:rPr>
      </w:pPr>
      <w:r>
        <w:rPr>
          <w:b/>
          <w:bCs/>
        </w:rPr>
        <w:t>Grading Scale</w:t>
      </w:r>
    </w:p>
    <w:p w:rsidR="002B1203" w:rsidRDefault="002B1203" w:rsidP="00980BFE">
      <w:r>
        <w:t xml:space="preserve">A = 94 – 100 </w:t>
      </w:r>
      <w:r w:rsidR="00046BD9">
        <w:tab/>
      </w:r>
      <w:r w:rsidR="00046BD9">
        <w:tab/>
      </w:r>
      <w:r>
        <w:t xml:space="preserve">B+ = 88 – 89 </w:t>
      </w:r>
      <w:r w:rsidR="00046BD9">
        <w:tab/>
      </w:r>
      <w:r w:rsidR="00046BD9">
        <w:tab/>
      </w:r>
      <w:r>
        <w:t xml:space="preserve">C+ = 78 – 79 </w:t>
      </w:r>
      <w:r w:rsidR="00046BD9">
        <w:tab/>
      </w:r>
      <w:r w:rsidR="00046BD9">
        <w:tab/>
      </w:r>
      <w:r>
        <w:t>D = 60 – 69</w:t>
      </w:r>
    </w:p>
    <w:p w:rsidR="002B1203" w:rsidRDefault="002B1203" w:rsidP="00980BFE">
      <w:r>
        <w:t xml:space="preserve">A- = 90 – 93 </w:t>
      </w:r>
      <w:r w:rsidR="00046BD9">
        <w:tab/>
      </w:r>
      <w:r w:rsidR="00046BD9">
        <w:tab/>
      </w:r>
      <w:r>
        <w:t xml:space="preserve">B = 84 – 87 </w:t>
      </w:r>
      <w:r w:rsidR="00046BD9">
        <w:tab/>
      </w:r>
      <w:r w:rsidR="00046BD9">
        <w:tab/>
      </w:r>
      <w:r>
        <w:t xml:space="preserve">C = 74 – 77 </w:t>
      </w:r>
      <w:r w:rsidR="00046BD9">
        <w:tab/>
      </w:r>
      <w:r w:rsidR="00046BD9">
        <w:tab/>
      </w:r>
      <w:r>
        <w:t>F = 0 – 59</w:t>
      </w:r>
    </w:p>
    <w:p w:rsidR="002B1203" w:rsidRDefault="002B1203" w:rsidP="00046BD9">
      <w:pPr>
        <w:ind w:left="1440" w:firstLine="720"/>
      </w:pPr>
      <w:r>
        <w:t xml:space="preserve">B- = 80 – 83 </w:t>
      </w:r>
      <w:r w:rsidR="00046BD9">
        <w:tab/>
      </w:r>
      <w:r w:rsidR="00046BD9">
        <w:tab/>
      </w:r>
      <w:r>
        <w:t>C- = 70 – 73</w:t>
      </w:r>
    </w:p>
    <w:p w:rsidR="002B1203" w:rsidRDefault="00816FC1" w:rsidP="00046BD9">
      <w:pPr>
        <w:pStyle w:val="Heading3"/>
      </w:pPr>
      <w:r>
        <w:t xml:space="preserve">GMU </w:t>
      </w:r>
      <w:r w:rsidR="003D2971">
        <w:t>Expectation and Information</w:t>
      </w:r>
    </w:p>
    <w:p w:rsidR="002B1203" w:rsidRDefault="002B1203" w:rsidP="00034E88">
      <w:pPr>
        <w:pStyle w:val="ListParagraph"/>
        <w:numPr>
          <w:ilvl w:val="0"/>
          <w:numId w:val="10"/>
        </w:numPr>
      </w:pPr>
      <w:r>
        <w:t>All students are held to the standards of the George Mason University Honor Code</w:t>
      </w:r>
      <w:r w:rsidR="00034E88">
        <w:t xml:space="preserve"> </w:t>
      </w:r>
      <w:r>
        <w:t>[See http://www.gmu.edu/catalog/apolicies/#Anchor12]</w:t>
      </w:r>
    </w:p>
    <w:p w:rsidR="002B1203" w:rsidRDefault="002B1203" w:rsidP="00034E88">
      <w:pPr>
        <w:pStyle w:val="ListParagraph"/>
        <w:numPr>
          <w:ilvl w:val="0"/>
          <w:numId w:val="10"/>
        </w:numPr>
      </w:pPr>
      <w:r>
        <w:t>University policy states that all sound emitting devices shall be turned off during</w:t>
      </w:r>
      <w:r w:rsidR="00034E88">
        <w:t xml:space="preserve"> </w:t>
      </w:r>
      <w:r>
        <w:t>class unless otherwise authorized by the professor</w:t>
      </w:r>
    </w:p>
    <w:p w:rsidR="002B1203" w:rsidRDefault="002B1203" w:rsidP="00034E88">
      <w:pPr>
        <w:pStyle w:val="ListParagraph"/>
        <w:numPr>
          <w:ilvl w:val="0"/>
          <w:numId w:val="10"/>
        </w:numPr>
      </w:pPr>
      <w:r>
        <w:t>Students with disabilities who seek accommodations in a course must be registered</w:t>
      </w:r>
      <w:r w:rsidR="00034E88">
        <w:t xml:space="preserve"> </w:t>
      </w:r>
      <w:r>
        <w:t>with the Disability Resource Center (DRC) and inform the instructor , in writing, at</w:t>
      </w:r>
      <w:r w:rsidR="00034E88">
        <w:t xml:space="preserve"> </w:t>
      </w:r>
      <w:r>
        <w:t>the beginning of the semester [See www.gmu.edu/student/drc]</w:t>
      </w:r>
    </w:p>
    <w:p w:rsidR="004B750E" w:rsidRDefault="002B1203" w:rsidP="00034E88">
      <w:pPr>
        <w:pStyle w:val="ListParagraph"/>
        <w:numPr>
          <w:ilvl w:val="0"/>
          <w:numId w:val="10"/>
        </w:numPr>
      </w:pPr>
      <w:r>
        <w:t>For additional School of Recreation, Health, and Tourism information, please visit</w:t>
      </w:r>
      <w:r w:rsidR="00034E88">
        <w:t xml:space="preserve"> </w:t>
      </w:r>
      <w:r>
        <w:t xml:space="preserve">the website at </w:t>
      </w:r>
      <w:hyperlink r:id="rId6" w:history="1">
        <w:r w:rsidR="00982BDA" w:rsidRPr="00A46544">
          <w:rPr>
            <w:rStyle w:val="Hyperlink"/>
          </w:rPr>
          <w:t>http://rht.gmu.edu</w:t>
        </w:r>
      </w:hyperlink>
    </w:p>
    <w:p w:rsidR="00982BDA" w:rsidRDefault="00982BDA" w:rsidP="00982BDA"/>
    <w:p w:rsidR="00982BDA" w:rsidRPr="00DA58DF" w:rsidRDefault="00982BDA" w:rsidP="00982BDA">
      <w:pPr>
        <w:pStyle w:val="Heading1"/>
      </w:pPr>
      <w:r w:rsidRPr="00DA58DF">
        <w:lastRenderedPageBreak/>
        <w:t>TENTATIVE COURSE SCHEDULE</w:t>
      </w:r>
      <w:r>
        <w:t xml:space="preserve"> – Fall 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4369"/>
        <w:gridCol w:w="2952"/>
        <w:gridCol w:w="2284"/>
      </w:tblGrid>
      <w:tr w:rsidR="00982BDA" w:rsidRPr="00F4555D" w:rsidTr="00A36308">
        <w:trPr>
          <w:tblHeader/>
        </w:trPr>
        <w:tc>
          <w:tcPr>
            <w:tcW w:w="1411" w:type="dxa"/>
          </w:tcPr>
          <w:p w:rsidR="00982BDA" w:rsidRPr="005F54FD" w:rsidRDefault="00982BDA" w:rsidP="00A36308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F54FD">
              <w:rPr>
                <w:rFonts w:ascii="Calibri" w:hAnsi="Calibri"/>
                <w:b/>
              </w:rPr>
              <w:t>Date</w:t>
            </w:r>
          </w:p>
        </w:tc>
        <w:tc>
          <w:tcPr>
            <w:tcW w:w="4369" w:type="dxa"/>
          </w:tcPr>
          <w:p w:rsidR="00982BDA" w:rsidRPr="005F54FD" w:rsidRDefault="00982BDA" w:rsidP="00A36308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F54FD">
              <w:rPr>
                <w:rFonts w:ascii="Calibri" w:hAnsi="Calibri"/>
                <w:b/>
              </w:rPr>
              <w:t>Topic</w:t>
            </w:r>
          </w:p>
        </w:tc>
        <w:tc>
          <w:tcPr>
            <w:tcW w:w="2952" w:type="dxa"/>
          </w:tcPr>
          <w:p w:rsidR="00982BDA" w:rsidRPr="005F54FD" w:rsidRDefault="00982BDA" w:rsidP="00A36308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F54FD">
              <w:rPr>
                <w:rFonts w:ascii="Calibri" w:hAnsi="Calibri"/>
                <w:b/>
              </w:rPr>
              <w:t>Required Reading</w:t>
            </w:r>
          </w:p>
        </w:tc>
        <w:tc>
          <w:tcPr>
            <w:tcW w:w="2284" w:type="dxa"/>
          </w:tcPr>
          <w:p w:rsidR="00982BDA" w:rsidRPr="005F54FD" w:rsidRDefault="00982BDA" w:rsidP="00A36308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F54FD">
              <w:rPr>
                <w:rFonts w:ascii="Calibri" w:hAnsi="Calibri"/>
                <w:b/>
              </w:rPr>
              <w:t>Assignments</w:t>
            </w: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5F54FD">
              <w:rPr>
                <w:rFonts w:ascii="Calibri" w:hAnsi="Calibri" w:cs="Arial"/>
                <w:bCs/>
                <w:color w:val="000000"/>
              </w:rPr>
              <w:t>Introduction to Class and Assignments</w:t>
            </w:r>
          </w:p>
          <w:p w:rsidR="00982BDA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5F54FD">
              <w:rPr>
                <w:rFonts w:ascii="Calibri" w:hAnsi="Calibri" w:cs="Arial"/>
                <w:bCs/>
                <w:color w:val="000000"/>
              </w:rPr>
              <w:t>Definitions, settings and benefits of Therapeutic Recreation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 xml:space="preserve">Guest Speaker – Sandi </w:t>
            </w:r>
            <w:proofErr w:type="spellStart"/>
            <w:r>
              <w:rPr>
                <w:rFonts w:ascii="Calibri" w:hAnsi="Calibri" w:cs="Arial"/>
                <w:bCs/>
                <w:color w:val="000000"/>
              </w:rPr>
              <w:t>Dalhoff</w:t>
            </w:r>
            <w:proofErr w:type="spellEnd"/>
            <w:r>
              <w:rPr>
                <w:rFonts w:ascii="Calibri" w:hAnsi="Calibri" w:cs="Arial"/>
                <w:bCs/>
                <w:color w:val="000000"/>
              </w:rPr>
              <w:t>, FX CO, Division Supervisor for TR, CTRS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5F54FD">
              <w:rPr>
                <w:rFonts w:ascii="Calibri" w:hAnsi="Calibri" w:cs="Arial"/>
              </w:rPr>
              <w:t>Chapter 1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Definitions - </w:t>
            </w:r>
            <w:r w:rsidRPr="005F54FD">
              <w:rPr>
                <w:rFonts w:ascii="Calibri" w:hAnsi="Calibri" w:cs="Arial"/>
              </w:rPr>
              <w:t>ATRA, NTRS, NCTRC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9/9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5F54FD">
              <w:rPr>
                <w:rFonts w:ascii="Calibri" w:hAnsi="Calibri" w:cs="Arial"/>
                <w:color w:val="000000"/>
              </w:rPr>
              <w:t xml:space="preserve">Philosophy of TR 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5F54FD">
              <w:rPr>
                <w:rFonts w:ascii="Calibri" w:hAnsi="Calibri" w:cs="Arial"/>
                <w:bCs/>
                <w:color w:val="000000"/>
              </w:rPr>
              <w:t>Chapter 2 &amp; handouts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Sign up for Topic and Disability group</w:t>
            </w:r>
          </w:p>
        </w:tc>
      </w:tr>
      <w:tr w:rsidR="00982BDA" w:rsidTr="00A36308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2BDA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9/16/2009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982BDA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A24C20">
              <w:rPr>
                <w:rFonts w:ascii="Calibri" w:hAnsi="Calibri" w:cs="Arial"/>
              </w:rPr>
              <w:t>Theories framing the Practice of TR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Guest Speaker: Jesse Ellis, MS Recreation Administration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Chapter 3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Tr="00A36308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2BDA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9/23/2009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982BDA" w:rsidRPr="00A24C20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A24C20">
              <w:rPr>
                <w:rFonts w:ascii="Calibri" w:hAnsi="Calibri" w:cs="Arial"/>
                <w:color w:val="000000"/>
              </w:rPr>
              <w:t>TR’s Role in supporting Health and Well-being</w:t>
            </w:r>
          </w:p>
          <w:p w:rsidR="00982BDA" w:rsidRPr="00A24C20" w:rsidRDefault="00982BDA" w:rsidP="00A36308">
            <w:pPr>
              <w:spacing w:before="120" w:after="120"/>
              <w:rPr>
                <w:rFonts w:ascii="Calibri" w:hAnsi="Calibri" w:cs="Arial"/>
                <w:i/>
                <w:color w:val="000000"/>
              </w:rPr>
            </w:pPr>
            <w:r w:rsidRPr="00A24C20">
              <w:rPr>
                <w:rFonts w:ascii="Calibri" w:hAnsi="Calibri" w:cs="Arial"/>
                <w:i/>
                <w:color w:val="000000"/>
              </w:rPr>
              <w:t xml:space="preserve">Guest speaker – Denise </w:t>
            </w:r>
            <w:proofErr w:type="spellStart"/>
            <w:r w:rsidRPr="00A24C20">
              <w:rPr>
                <w:rFonts w:ascii="Calibri" w:hAnsi="Calibri" w:cs="Arial"/>
                <w:i/>
                <w:color w:val="000000"/>
              </w:rPr>
              <w:t>Raybon</w:t>
            </w:r>
            <w:proofErr w:type="spellEnd"/>
            <w:r w:rsidRPr="00A24C20">
              <w:rPr>
                <w:rFonts w:ascii="Calibri" w:hAnsi="Calibri" w:cs="Arial"/>
                <w:i/>
                <w:color w:val="000000"/>
              </w:rPr>
              <w:t>, Fairfax County Prevention Coordinator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Chapters 4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F82478" w:rsidTr="00A36308">
        <w:tc>
          <w:tcPr>
            <w:tcW w:w="1411" w:type="dxa"/>
            <w:shd w:val="clear" w:color="auto" w:fill="FFFFFF" w:themeFill="background1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9/30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shd w:val="clear" w:color="auto" w:fill="FFFFFF" w:themeFill="background1"/>
          </w:tcPr>
          <w:p w:rsidR="00982BDA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Research Group Assignments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OUT OF CLASS GROUP/INDIVIDUAL PROJECT WORK</w:t>
            </w:r>
          </w:p>
        </w:tc>
        <w:tc>
          <w:tcPr>
            <w:tcW w:w="2284" w:type="dxa"/>
            <w:shd w:val="clear" w:color="auto" w:fill="FFFFFF" w:themeFill="background1"/>
          </w:tcPr>
          <w:p w:rsidR="00982BDA" w:rsidRPr="003A1F53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10/7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982BDA" w:rsidRPr="00742FEE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Disabilities (Acute/Chronic) and </w:t>
            </w:r>
            <w:r w:rsidRPr="00742FEE">
              <w:rPr>
                <w:rFonts w:ascii="Calibri" w:hAnsi="Calibri" w:cs="Arial"/>
                <w:color w:val="000000"/>
              </w:rPr>
              <w:t>Accommodations for People with Disabilities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742FEE">
              <w:rPr>
                <w:rFonts w:ascii="Calibri" w:hAnsi="Calibri" w:cs="Arial"/>
                <w:bCs/>
                <w:i/>
                <w:color w:val="000000"/>
              </w:rPr>
              <w:t xml:space="preserve">Guest Speaker – Ashley </w:t>
            </w:r>
            <w:proofErr w:type="spellStart"/>
            <w:r w:rsidRPr="00742FEE">
              <w:rPr>
                <w:rFonts w:ascii="Calibri" w:hAnsi="Calibri" w:cs="Arial"/>
                <w:bCs/>
                <w:i/>
                <w:color w:val="000000"/>
              </w:rPr>
              <w:t>Haddow</w:t>
            </w:r>
            <w:proofErr w:type="spellEnd"/>
            <w:r w:rsidRPr="00742FEE">
              <w:rPr>
                <w:rFonts w:ascii="Calibri" w:hAnsi="Calibri" w:cs="Arial"/>
                <w:bCs/>
                <w:i/>
                <w:color w:val="000000"/>
              </w:rPr>
              <w:t>, CTRS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Articles and Chapter 10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F4555D" w:rsidTr="00A36308">
        <w:tc>
          <w:tcPr>
            <w:tcW w:w="1411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10/14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ED42B2">
              <w:rPr>
                <w:rFonts w:ascii="Calibri" w:hAnsi="Calibri" w:cs="Arial"/>
                <w:color w:val="000000"/>
              </w:rPr>
              <w:t>Recreation Therapy Versus Recreation Services &amp; The Therapeutic Recreation Process</w:t>
            </w:r>
          </w:p>
        </w:tc>
        <w:tc>
          <w:tcPr>
            <w:tcW w:w="2952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Chapter 7 &amp; 8</w:t>
            </w:r>
          </w:p>
        </w:tc>
        <w:tc>
          <w:tcPr>
            <w:tcW w:w="2284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F54FD">
              <w:rPr>
                <w:rFonts w:ascii="Calibri" w:hAnsi="Calibri" w:cs="Arial"/>
                <w:color w:val="FF0000"/>
              </w:rPr>
              <w:t xml:space="preserve"> </w:t>
            </w:r>
            <w:r>
              <w:rPr>
                <w:rFonts w:ascii="Calibri" w:hAnsi="Calibri" w:cs="Arial"/>
                <w:color w:val="FF0000"/>
              </w:rPr>
              <w:t>Test 1 due</w:t>
            </w: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10/21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Disability Presentations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Assignment 1 due</w:t>
            </w:r>
          </w:p>
        </w:tc>
      </w:tr>
      <w:tr w:rsidR="00982BDA" w:rsidRPr="00F4555D" w:rsidTr="00A36308">
        <w:tc>
          <w:tcPr>
            <w:tcW w:w="1411" w:type="dxa"/>
            <w:shd w:val="clear" w:color="auto" w:fill="FFFFFF" w:themeFill="background1"/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10/28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shd w:val="clear" w:color="auto" w:fill="FFFFFF" w:themeFill="background1"/>
          </w:tcPr>
          <w:p w:rsidR="00982BDA" w:rsidRPr="00021C52" w:rsidRDefault="00982BDA" w:rsidP="00A3630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021C52">
              <w:rPr>
                <w:rFonts w:ascii="Calibri" w:hAnsi="Calibri" w:cs="Arial"/>
                <w:color w:val="000000"/>
              </w:rPr>
              <w:t xml:space="preserve">Legislation, TR Service Delivery, </w:t>
            </w:r>
          </w:p>
          <w:p w:rsidR="00982BDA" w:rsidRPr="005F54FD" w:rsidRDefault="00982BDA" w:rsidP="00A3630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021C52">
              <w:rPr>
                <w:rFonts w:ascii="Calibri" w:hAnsi="Calibri" w:cs="Arial"/>
                <w:color w:val="000000"/>
              </w:rPr>
              <w:t>TR Profession</w:t>
            </w:r>
          </w:p>
        </w:tc>
        <w:tc>
          <w:tcPr>
            <w:tcW w:w="2952" w:type="dxa"/>
            <w:shd w:val="clear" w:color="auto" w:fill="FFFFFF" w:themeFill="background1"/>
          </w:tcPr>
          <w:p w:rsidR="00982BDA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Chapter 5 &amp; 6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 xml:space="preserve">Assignment 2 - </w:t>
            </w:r>
            <w:r w:rsidRPr="00C04EA3">
              <w:rPr>
                <w:rFonts w:ascii="Calibri" w:hAnsi="Calibri" w:cs="Arial"/>
                <w:color w:val="FF0000"/>
              </w:rPr>
              <w:t>T</w:t>
            </w:r>
            <w:r>
              <w:rPr>
                <w:rFonts w:ascii="Calibri" w:hAnsi="Calibri" w:cs="Arial"/>
                <w:color w:val="FF0000"/>
              </w:rPr>
              <w:t xml:space="preserve">eam 1, 2, 3, 4  </w:t>
            </w:r>
            <w:r w:rsidRPr="00C04EA3">
              <w:rPr>
                <w:rFonts w:ascii="Calibri" w:hAnsi="Calibri" w:cs="Arial"/>
                <w:color w:val="FF0000"/>
              </w:rPr>
              <w:t>topic presentation</w:t>
            </w: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10/28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982BDA" w:rsidRPr="007D5F22" w:rsidRDefault="00982BDA" w:rsidP="00A36308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EE00D5">
              <w:rPr>
                <w:rFonts w:ascii="Calibri" w:hAnsi="Calibri"/>
                <w:color w:val="000000"/>
              </w:rPr>
              <w:t>Models of Therapeutic Recreation Practice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EE00D5">
              <w:rPr>
                <w:rFonts w:ascii="Calibri" w:hAnsi="Calibri" w:cs="Arial"/>
              </w:rPr>
              <w:t>Chapter: 9 &amp; Handouts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11764C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B8592F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11/4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tabs>
                <w:tab w:val="left" w:pos="5325"/>
              </w:tabs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 Observation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Class 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Off-Site Assignment</w:t>
            </w: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11/11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Designing Specific Therapeutic Recreation Activity Interventions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Handouts, Logic Model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11/18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C04EA3">
              <w:rPr>
                <w:rFonts w:ascii="Calibri" w:hAnsi="Calibri" w:cs="Arial"/>
              </w:rPr>
              <w:t>Designing Specific Therapeutic Recreation Activity Interventions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Test 2 Due</w:t>
            </w: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11/25/2009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Class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982BDA" w:rsidRPr="00F4555D" w:rsidTr="00A36308">
        <w:tc>
          <w:tcPr>
            <w:tcW w:w="1411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12/2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5F54FD">
              <w:rPr>
                <w:rFonts w:ascii="Calibri" w:hAnsi="Calibri" w:cs="Arial"/>
              </w:rPr>
              <w:t xml:space="preserve">Individual Service Planning; incorporating family and multicultural aspects 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 w:rsidRPr="005F54FD">
              <w:rPr>
                <w:rFonts w:ascii="Calibri" w:hAnsi="Calibri" w:cs="Arial"/>
                <w:bCs/>
                <w:color w:val="000000"/>
              </w:rPr>
              <w:t>Chapter 11 &amp; Handouts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E9423A">
              <w:rPr>
                <w:rFonts w:ascii="Calibri" w:hAnsi="Calibri" w:cs="Arial"/>
                <w:color w:val="FF0000"/>
              </w:rPr>
              <w:t>Assignment 1 – Team  5, 6 Topic Presentations</w:t>
            </w:r>
          </w:p>
        </w:tc>
      </w:tr>
      <w:tr w:rsidR="00982BDA" w:rsidRPr="00F4555D" w:rsidTr="00A36308">
        <w:tc>
          <w:tcPr>
            <w:tcW w:w="1411" w:type="dxa"/>
            <w:shd w:val="clear" w:color="auto" w:fill="auto"/>
          </w:tcPr>
          <w:p w:rsidR="00982BDA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12/9/2009</w:t>
            </w:r>
          </w:p>
        </w:tc>
        <w:tc>
          <w:tcPr>
            <w:tcW w:w="4369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5F54FD">
              <w:rPr>
                <w:rFonts w:ascii="Calibri" w:hAnsi="Calibri" w:cs="Arial"/>
              </w:rPr>
              <w:t>Client Documentation &amp; Program Evaluation</w:t>
            </w:r>
          </w:p>
        </w:tc>
        <w:tc>
          <w:tcPr>
            <w:tcW w:w="2952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5F54FD">
              <w:rPr>
                <w:rFonts w:ascii="Calibri" w:hAnsi="Calibri" w:cs="Arial"/>
                <w:bCs/>
                <w:color w:val="000000"/>
              </w:rPr>
              <w:t>Handouts</w:t>
            </w:r>
          </w:p>
        </w:tc>
        <w:tc>
          <w:tcPr>
            <w:tcW w:w="2284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F54FD">
              <w:rPr>
                <w:rFonts w:ascii="Calibri" w:hAnsi="Calibri" w:cs="Arial"/>
                <w:color w:val="FF0000"/>
              </w:rPr>
              <w:t>Assignment 3 due</w:t>
            </w:r>
          </w:p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F54FD">
              <w:rPr>
                <w:rFonts w:ascii="Calibri" w:hAnsi="Calibri" w:cs="Arial"/>
                <w:color w:val="FF0000"/>
              </w:rPr>
              <w:t>Individual Service Plan</w:t>
            </w:r>
          </w:p>
        </w:tc>
      </w:tr>
      <w:tr w:rsidR="00982BDA" w:rsidRPr="00F4555D" w:rsidTr="00A36308">
        <w:tc>
          <w:tcPr>
            <w:tcW w:w="1411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12/16</w:t>
            </w:r>
            <w:r w:rsidRPr="005F54FD">
              <w:rPr>
                <w:rFonts w:ascii="Calibri" w:hAnsi="Calibri" w:cs="Arial"/>
              </w:rPr>
              <w:t>/2009</w:t>
            </w:r>
          </w:p>
        </w:tc>
        <w:tc>
          <w:tcPr>
            <w:tcW w:w="4369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 w:rsidRPr="005F54FD">
              <w:rPr>
                <w:rFonts w:ascii="Calibri" w:hAnsi="Calibri" w:cs="Arial"/>
              </w:rPr>
              <w:t>Final Assignment Due</w:t>
            </w:r>
          </w:p>
        </w:tc>
        <w:tc>
          <w:tcPr>
            <w:tcW w:w="2952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STUDENTS MUST ATTEND THE FINAL</w:t>
            </w:r>
          </w:p>
        </w:tc>
        <w:tc>
          <w:tcPr>
            <w:tcW w:w="2284" w:type="dxa"/>
            <w:shd w:val="clear" w:color="auto" w:fill="auto"/>
          </w:tcPr>
          <w:p w:rsidR="00982BDA" w:rsidRPr="005F54FD" w:rsidRDefault="00982BDA" w:rsidP="00A36308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F54FD">
              <w:rPr>
                <w:rFonts w:ascii="Calibri" w:hAnsi="Calibri" w:cs="Arial"/>
                <w:color w:val="FF0000"/>
              </w:rPr>
              <w:t>Assignment 4 due  Therapeutic Activity Intervention Plans</w:t>
            </w:r>
          </w:p>
        </w:tc>
      </w:tr>
    </w:tbl>
    <w:p w:rsidR="00982BDA" w:rsidRPr="00DA58DF" w:rsidRDefault="00982BDA" w:rsidP="00982BDA">
      <w:pPr>
        <w:widowControl w:val="0"/>
        <w:tabs>
          <w:tab w:val="left" w:pos="-1080"/>
          <w:tab w:val="left" w:pos="-720"/>
          <w:tab w:val="left" w:pos="0"/>
          <w:tab w:val="left" w:pos="5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830"/>
          <w:tab w:val="left" w:pos="8640"/>
        </w:tabs>
        <w:ind w:left="540" w:hanging="540"/>
        <w:jc w:val="both"/>
        <w:rPr>
          <w:rFonts w:ascii="Calibri" w:hAnsi="Calibri"/>
        </w:rPr>
      </w:pPr>
    </w:p>
    <w:p w:rsidR="00982BDA" w:rsidRPr="00DA58DF" w:rsidRDefault="00982BDA" w:rsidP="00982BDA">
      <w:pPr>
        <w:widowControl w:val="0"/>
        <w:tabs>
          <w:tab w:val="left" w:pos="-18363"/>
          <w:tab w:val="left" w:pos="-18003"/>
          <w:tab w:val="left" w:pos="-17643"/>
          <w:tab w:val="left" w:pos="-17103"/>
          <w:tab w:val="left" w:pos="-16833"/>
          <w:tab w:val="left" w:pos="0"/>
          <w:tab w:val="left" w:pos="720"/>
          <w:tab w:val="left" w:pos="1440"/>
          <w:tab w:val="left" w:pos="234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right" w:pos="9090"/>
        </w:tabs>
        <w:ind w:left="720" w:right="-180" w:hanging="720"/>
        <w:jc w:val="both"/>
        <w:rPr>
          <w:rFonts w:ascii="Calibri" w:hAnsi="Calibri"/>
          <w:i/>
          <w:iCs/>
        </w:rPr>
      </w:pPr>
      <w:r w:rsidRPr="00DA58DF">
        <w:rPr>
          <w:rFonts w:ascii="Calibri" w:hAnsi="Calibri"/>
          <w:i/>
          <w:iCs/>
        </w:rPr>
        <w:t>Note:  Faculty reserves the right to alter the schedule as necessary.</w:t>
      </w:r>
    </w:p>
    <w:p w:rsidR="00982BDA" w:rsidRPr="00DA58DF" w:rsidRDefault="00982BDA" w:rsidP="00982BDA">
      <w:pPr>
        <w:widowControl w:val="0"/>
        <w:pBdr>
          <w:bottom w:val="single" w:sz="4" w:space="1" w:color="auto"/>
        </w:pBdr>
        <w:tabs>
          <w:tab w:val="left" w:pos="-18363"/>
          <w:tab w:val="left" w:pos="-18003"/>
          <w:tab w:val="left" w:pos="-17643"/>
          <w:tab w:val="left" w:pos="-17103"/>
          <w:tab w:val="left" w:pos="-16833"/>
          <w:tab w:val="left" w:pos="0"/>
          <w:tab w:val="left" w:pos="720"/>
          <w:tab w:val="left" w:pos="1440"/>
          <w:tab w:val="left" w:pos="234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right" w:pos="9090"/>
        </w:tabs>
        <w:ind w:left="720" w:right="-180" w:hanging="720"/>
        <w:jc w:val="both"/>
        <w:rPr>
          <w:rFonts w:ascii="Calibri" w:hAnsi="Calibri"/>
        </w:rPr>
      </w:pPr>
    </w:p>
    <w:p w:rsidR="00982BDA" w:rsidRDefault="00982BDA" w:rsidP="00982BDA">
      <w:r>
        <w:br w:type="column"/>
      </w:r>
      <w:r>
        <w:lastRenderedPageBreak/>
        <w:t>Topics</w:t>
      </w:r>
    </w:p>
    <w:p w:rsidR="00982BDA" w:rsidRDefault="00982BDA" w:rsidP="00982BDA"/>
    <w:tbl>
      <w:tblPr>
        <w:tblStyle w:val="TableGrid"/>
        <w:tblW w:w="0" w:type="auto"/>
        <w:tblLook w:val="04A0"/>
      </w:tblPr>
      <w:tblGrid>
        <w:gridCol w:w="1368"/>
        <w:gridCol w:w="5040"/>
        <w:gridCol w:w="4608"/>
      </w:tblGrid>
      <w:tr w:rsidR="00982BDA" w:rsidTr="00A36308">
        <w:tc>
          <w:tcPr>
            <w:tcW w:w="1368" w:type="dxa"/>
          </w:tcPr>
          <w:p w:rsidR="00982BDA" w:rsidRDefault="00982BDA" w:rsidP="00A36308">
            <w:r>
              <w:t>Team #</w:t>
            </w:r>
          </w:p>
        </w:tc>
        <w:tc>
          <w:tcPr>
            <w:tcW w:w="5040" w:type="dxa"/>
          </w:tcPr>
          <w:p w:rsidR="00982BDA" w:rsidRDefault="00982BDA" w:rsidP="00A36308">
            <w:r>
              <w:t>Topic Assignment</w:t>
            </w:r>
          </w:p>
        </w:tc>
        <w:tc>
          <w:tcPr>
            <w:tcW w:w="4608" w:type="dxa"/>
          </w:tcPr>
          <w:p w:rsidR="00982BDA" w:rsidRDefault="00982BDA" w:rsidP="00A36308">
            <w:r>
              <w:t>Learning Objectives</w:t>
            </w:r>
          </w:p>
        </w:tc>
      </w:tr>
      <w:tr w:rsidR="00982BDA" w:rsidTr="00A36308">
        <w:tc>
          <w:tcPr>
            <w:tcW w:w="1368" w:type="dxa"/>
          </w:tcPr>
          <w:p w:rsidR="00982BDA" w:rsidRDefault="00982BDA" w:rsidP="00A36308">
            <w:r>
              <w:t>1</w:t>
            </w:r>
          </w:p>
        </w:tc>
        <w:tc>
          <w:tcPr>
            <w:tcW w:w="5040" w:type="dxa"/>
          </w:tcPr>
          <w:p w:rsidR="00982BDA" w:rsidRDefault="00982BDA" w:rsidP="00A36308">
            <w:r>
              <w:t>Understanding Terminology, Attitudes, and Portrayal of People with Disabilities in Media</w:t>
            </w:r>
          </w:p>
        </w:tc>
        <w:tc>
          <w:tcPr>
            <w:tcW w:w="4608" w:type="dxa"/>
          </w:tcPr>
          <w:p w:rsidR="00982BDA" w:rsidRDefault="00982BDA" w:rsidP="00982BDA">
            <w:pPr>
              <w:pStyle w:val="ListParagraph"/>
              <w:numPr>
                <w:ilvl w:val="0"/>
                <w:numId w:val="11"/>
              </w:numPr>
            </w:pPr>
            <w:r>
              <w:t>Identify factors that influence attitudes toward people with disabilities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1"/>
              </w:numPr>
            </w:pPr>
            <w:r>
              <w:t>Discuss the role of personal experiences in the formation of attitudes/beliefs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1"/>
              </w:numPr>
            </w:pPr>
            <w:r>
              <w:t>Discuss how media influences our beliefs and attitudes toward people with disabilities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1"/>
              </w:numPr>
            </w:pPr>
            <w:r>
              <w:t>Describe appropriate terminology when speaking to/about people with disabilities</w:t>
            </w:r>
          </w:p>
        </w:tc>
      </w:tr>
      <w:tr w:rsidR="00982BDA" w:rsidTr="00A36308">
        <w:tc>
          <w:tcPr>
            <w:tcW w:w="1368" w:type="dxa"/>
          </w:tcPr>
          <w:p w:rsidR="00982BDA" w:rsidRDefault="00982BDA" w:rsidP="00A36308">
            <w:r>
              <w:t>2</w:t>
            </w:r>
          </w:p>
        </w:tc>
        <w:tc>
          <w:tcPr>
            <w:tcW w:w="5040" w:type="dxa"/>
          </w:tcPr>
          <w:p w:rsidR="00982BDA" w:rsidRDefault="00982BDA" w:rsidP="00A36308">
            <w:r>
              <w:t>Normalization and Social Role Valorization</w:t>
            </w:r>
          </w:p>
        </w:tc>
        <w:tc>
          <w:tcPr>
            <w:tcW w:w="4608" w:type="dxa"/>
          </w:tcPr>
          <w:p w:rsidR="00982BDA" w:rsidRDefault="00982BDA" w:rsidP="00982BDA">
            <w:pPr>
              <w:pStyle w:val="ListParagraph"/>
              <w:numPr>
                <w:ilvl w:val="0"/>
                <w:numId w:val="12"/>
              </w:numPr>
            </w:pPr>
            <w:r>
              <w:t>Define Normalization and explain its conceptual framework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2"/>
              </w:numPr>
            </w:pPr>
            <w:r>
              <w:t>Identify the primary attributes of Normalization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2"/>
              </w:numPr>
            </w:pPr>
            <w:r>
              <w:t>Give examples of how TR can be used to apply the principles of normalization when working with people with intellectual disabilities and physical disabilities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2"/>
              </w:numPr>
            </w:pPr>
            <w:r>
              <w:t>Explain what social role valorization is and the importance of valued social roles for people with disabilities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2"/>
              </w:numPr>
            </w:pPr>
            <w:r>
              <w:t>Give examples of how TR can support improved social image for people with intellectual disabilities</w:t>
            </w:r>
          </w:p>
        </w:tc>
      </w:tr>
      <w:tr w:rsidR="00982BDA" w:rsidTr="00A36308">
        <w:tc>
          <w:tcPr>
            <w:tcW w:w="1368" w:type="dxa"/>
          </w:tcPr>
          <w:p w:rsidR="00982BDA" w:rsidRDefault="00982BDA" w:rsidP="00A36308">
            <w:r>
              <w:t>3</w:t>
            </w:r>
          </w:p>
        </w:tc>
        <w:tc>
          <w:tcPr>
            <w:tcW w:w="5040" w:type="dxa"/>
          </w:tcPr>
          <w:p w:rsidR="00982BDA" w:rsidRDefault="00982BDA" w:rsidP="00A36308">
            <w:r>
              <w:t>Legislation</w:t>
            </w:r>
          </w:p>
        </w:tc>
        <w:tc>
          <w:tcPr>
            <w:tcW w:w="4608" w:type="dxa"/>
          </w:tcPr>
          <w:p w:rsidR="00982BDA" w:rsidRDefault="00982BDA" w:rsidP="00982BDA">
            <w:pPr>
              <w:pStyle w:val="ListParagraph"/>
              <w:numPr>
                <w:ilvl w:val="0"/>
                <w:numId w:val="13"/>
              </w:numPr>
            </w:pPr>
            <w:r>
              <w:t>Identify and define the 3 primary federal legislation acts (laws) that influence the provision of TR services for people with disabilities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3"/>
              </w:numPr>
            </w:pPr>
            <w:r>
              <w:t>Describe how TR is influenced by each of the legislation acts.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3"/>
              </w:numPr>
            </w:pPr>
            <w:r>
              <w:t>Define reasonable accommodations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3"/>
              </w:numPr>
            </w:pPr>
            <w:r>
              <w:t>In Casey vs. PGA, present arguments for and against the use of a golf cart as a reasonable accommodation</w:t>
            </w:r>
          </w:p>
          <w:p w:rsidR="00982BDA" w:rsidRDefault="00982BDA" w:rsidP="00982BDA">
            <w:pPr>
              <w:pStyle w:val="ListParagraph"/>
              <w:numPr>
                <w:ilvl w:val="0"/>
                <w:numId w:val="13"/>
              </w:numPr>
            </w:pPr>
            <w:r>
              <w:t>Give 10 general rules or tips for successfully accommodating people with disabilities</w:t>
            </w:r>
          </w:p>
        </w:tc>
      </w:tr>
      <w:tr w:rsidR="00982BDA" w:rsidTr="00A36308">
        <w:tc>
          <w:tcPr>
            <w:tcW w:w="1368" w:type="dxa"/>
          </w:tcPr>
          <w:p w:rsidR="00982BDA" w:rsidRDefault="00982BDA" w:rsidP="00A36308"/>
        </w:tc>
        <w:tc>
          <w:tcPr>
            <w:tcW w:w="5040" w:type="dxa"/>
          </w:tcPr>
          <w:p w:rsidR="00982BDA" w:rsidRDefault="00982BDA" w:rsidP="00A36308"/>
        </w:tc>
        <w:tc>
          <w:tcPr>
            <w:tcW w:w="4608" w:type="dxa"/>
          </w:tcPr>
          <w:p w:rsidR="00982BDA" w:rsidRDefault="00982BDA" w:rsidP="00A36308"/>
        </w:tc>
      </w:tr>
      <w:tr w:rsidR="00982BDA" w:rsidTr="00A36308">
        <w:tc>
          <w:tcPr>
            <w:tcW w:w="1368" w:type="dxa"/>
          </w:tcPr>
          <w:p w:rsidR="00982BDA" w:rsidRDefault="00982BDA" w:rsidP="00A36308"/>
        </w:tc>
        <w:tc>
          <w:tcPr>
            <w:tcW w:w="5040" w:type="dxa"/>
          </w:tcPr>
          <w:p w:rsidR="00982BDA" w:rsidRDefault="00982BDA" w:rsidP="00A36308"/>
        </w:tc>
        <w:tc>
          <w:tcPr>
            <w:tcW w:w="4608" w:type="dxa"/>
          </w:tcPr>
          <w:p w:rsidR="00982BDA" w:rsidRDefault="00982BDA" w:rsidP="00A36308"/>
        </w:tc>
      </w:tr>
      <w:tr w:rsidR="00982BDA" w:rsidTr="00A36308">
        <w:tc>
          <w:tcPr>
            <w:tcW w:w="1368" w:type="dxa"/>
          </w:tcPr>
          <w:p w:rsidR="00982BDA" w:rsidRDefault="00982BDA" w:rsidP="00A36308"/>
        </w:tc>
        <w:tc>
          <w:tcPr>
            <w:tcW w:w="5040" w:type="dxa"/>
          </w:tcPr>
          <w:p w:rsidR="00982BDA" w:rsidRDefault="00982BDA" w:rsidP="00A36308"/>
        </w:tc>
        <w:tc>
          <w:tcPr>
            <w:tcW w:w="4608" w:type="dxa"/>
          </w:tcPr>
          <w:p w:rsidR="00982BDA" w:rsidRDefault="00982BDA" w:rsidP="00A36308"/>
        </w:tc>
      </w:tr>
      <w:tr w:rsidR="00982BDA" w:rsidTr="00A36308">
        <w:tc>
          <w:tcPr>
            <w:tcW w:w="1368" w:type="dxa"/>
          </w:tcPr>
          <w:p w:rsidR="00982BDA" w:rsidRDefault="00982BDA" w:rsidP="00A36308"/>
        </w:tc>
        <w:tc>
          <w:tcPr>
            <w:tcW w:w="5040" w:type="dxa"/>
          </w:tcPr>
          <w:p w:rsidR="00982BDA" w:rsidRDefault="00982BDA" w:rsidP="00A36308"/>
        </w:tc>
        <w:tc>
          <w:tcPr>
            <w:tcW w:w="4608" w:type="dxa"/>
          </w:tcPr>
          <w:p w:rsidR="00982BDA" w:rsidRDefault="00982BDA" w:rsidP="00A36308"/>
        </w:tc>
      </w:tr>
    </w:tbl>
    <w:p w:rsidR="00982BDA" w:rsidRDefault="00982BDA" w:rsidP="00982BDA"/>
    <w:p w:rsidR="00982BDA" w:rsidRPr="00034E88" w:rsidRDefault="00982BDA" w:rsidP="00982BDA"/>
    <w:sectPr w:rsidR="00982BDA" w:rsidRPr="00034E88" w:rsidSect="00CD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63"/>
    <w:multiLevelType w:val="hybridMultilevel"/>
    <w:tmpl w:val="771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EFB"/>
    <w:multiLevelType w:val="hybridMultilevel"/>
    <w:tmpl w:val="34F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FCA"/>
    <w:multiLevelType w:val="hybridMultilevel"/>
    <w:tmpl w:val="5B5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49EB"/>
    <w:multiLevelType w:val="hybridMultilevel"/>
    <w:tmpl w:val="0826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3AC"/>
    <w:multiLevelType w:val="hybridMultilevel"/>
    <w:tmpl w:val="746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6C4F"/>
    <w:multiLevelType w:val="hybridMultilevel"/>
    <w:tmpl w:val="D5BC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625DE"/>
    <w:multiLevelType w:val="hybridMultilevel"/>
    <w:tmpl w:val="E5F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06301"/>
    <w:multiLevelType w:val="hybridMultilevel"/>
    <w:tmpl w:val="B00E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656"/>
    <w:multiLevelType w:val="hybridMultilevel"/>
    <w:tmpl w:val="5254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3302"/>
    <w:multiLevelType w:val="hybridMultilevel"/>
    <w:tmpl w:val="067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2187"/>
    <w:multiLevelType w:val="hybridMultilevel"/>
    <w:tmpl w:val="EEE4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945FA"/>
    <w:multiLevelType w:val="hybridMultilevel"/>
    <w:tmpl w:val="781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F1502"/>
    <w:multiLevelType w:val="hybridMultilevel"/>
    <w:tmpl w:val="3F58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1203"/>
    <w:rsid w:val="00034E88"/>
    <w:rsid w:val="00046BD9"/>
    <w:rsid w:val="002053AC"/>
    <w:rsid w:val="00217A46"/>
    <w:rsid w:val="00265FB5"/>
    <w:rsid w:val="002B1203"/>
    <w:rsid w:val="00374E22"/>
    <w:rsid w:val="003D2971"/>
    <w:rsid w:val="004E5178"/>
    <w:rsid w:val="0052727D"/>
    <w:rsid w:val="00725D8D"/>
    <w:rsid w:val="007273A2"/>
    <w:rsid w:val="007338EB"/>
    <w:rsid w:val="00734102"/>
    <w:rsid w:val="00816FC1"/>
    <w:rsid w:val="008D5F0C"/>
    <w:rsid w:val="00980BFE"/>
    <w:rsid w:val="00982BDA"/>
    <w:rsid w:val="009844BB"/>
    <w:rsid w:val="00BF0770"/>
    <w:rsid w:val="00C93CF0"/>
    <w:rsid w:val="00CA2028"/>
    <w:rsid w:val="00CD37DC"/>
    <w:rsid w:val="00D57C3D"/>
    <w:rsid w:val="00ED17C2"/>
    <w:rsid w:val="00EE1392"/>
    <w:rsid w:val="00F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7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7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7DC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7DC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D37DC"/>
    <w:rPr>
      <w:b/>
      <w:bCs/>
    </w:rPr>
  </w:style>
  <w:style w:type="character" w:styleId="Emphasis">
    <w:name w:val="Emphasis"/>
    <w:uiPriority w:val="20"/>
    <w:qFormat/>
    <w:rsid w:val="00CD3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D37DC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CD37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D3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D3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D3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D3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D3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7D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D37D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D37D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37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2BDA"/>
    <w:pPr>
      <w:spacing w:before="0"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.gmu.edu" TargetMode="External"/><Relationship Id="rId5" Type="http://schemas.openxmlformats.org/officeDocument/2006/relationships/hyperlink" Target="mailto:pfrancke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pfrank</dc:creator>
  <cp:keywords/>
  <dc:description/>
  <cp:lastModifiedBy>PWC User</cp:lastModifiedBy>
  <cp:revision>2</cp:revision>
  <dcterms:created xsi:type="dcterms:W3CDTF">2009-09-01T11:56:00Z</dcterms:created>
  <dcterms:modified xsi:type="dcterms:W3CDTF">2009-09-01T11:56:00Z</dcterms:modified>
</cp:coreProperties>
</file>